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tLeast" w:line="100"/>
        <w:jc w:val="center"/>
        <w:rPr>
          <w:rFonts w:ascii="Arial" w:hAnsi="Arial" w:cs="Arial"/>
          <w:b/>
          <w:b/>
          <w:bCs/>
          <w:color w:val="000000"/>
          <w:sz w:val="20"/>
          <w:szCs w:val="20"/>
        </w:rPr>
      </w:pPr>
      <w:r>
        <w:rPr>
          <w:rFonts w:cs="Arial" w:ascii="Arial" w:hAnsi="Arial"/>
          <w:b/>
          <w:bCs/>
          <w:color w:val="000000"/>
          <w:sz w:val="20"/>
          <w:szCs w:val="20"/>
        </w:rPr>
        <w:t>MODELO DA ATA DE REGISTRO DE PREÇOS</w:t>
      </w:r>
    </w:p>
    <w:p>
      <w:pPr>
        <w:pStyle w:val="Normal"/>
        <w:tabs>
          <w:tab w:val="clear" w:pos="708"/>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tLeast" w:line="100"/>
        <w:jc w:val="center"/>
        <w:rPr>
          <w:rFonts w:ascii="Arial" w:hAnsi="Arial" w:cs="Arial"/>
          <w:b/>
          <w:b/>
          <w:bCs/>
          <w:color w:val="000000"/>
          <w:sz w:val="20"/>
          <w:szCs w:val="20"/>
        </w:rPr>
      </w:pPr>
      <w:r>
        <w:rPr>
          <w:rFonts w:cs="Arial" w:ascii="Arial" w:hAnsi="Arial"/>
          <w:b/>
          <w:bCs/>
          <w:color w:val="000000"/>
          <w:sz w:val="20"/>
          <w:szCs w:val="20"/>
        </w:rPr>
      </w:r>
    </w:p>
    <w:p>
      <w:pPr>
        <w:pStyle w:val="Normal"/>
        <w:spacing w:lineRule="atLeast" w:line="100"/>
        <w:jc w:val="center"/>
        <w:rPr>
          <w:rFonts w:ascii="Arial" w:hAnsi="Arial" w:cs="Arial"/>
          <w:b/>
          <w:b/>
          <w:bCs/>
          <w:color w:val="000000"/>
          <w:sz w:val="20"/>
          <w:szCs w:val="20"/>
        </w:rPr>
      </w:pPr>
      <w:r>
        <w:rPr>
          <w:rFonts w:cs="Arial" w:ascii="Arial" w:hAnsi="Arial"/>
          <w:b/>
          <w:bCs/>
          <w:color w:val="000000"/>
          <w:sz w:val="20"/>
          <w:szCs w:val="20"/>
        </w:rPr>
        <w:drawing>
          <wp:anchor behindDoc="0" distT="0" distB="0" distL="114935" distR="114935" simplePos="0" locked="0" layoutInCell="1" allowOverlap="1" relativeHeight="2">
            <wp:simplePos x="0" y="0"/>
            <wp:positionH relativeFrom="column">
              <wp:posOffset>2703830</wp:posOffset>
            </wp:positionH>
            <wp:positionV relativeFrom="paragraph">
              <wp:posOffset>138430</wp:posOffset>
            </wp:positionV>
            <wp:extent cx="710565" cy="78930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179" t="-163" r="-179" b="-163"/>
                    <a:stretch>
                      <a:fillRect/>
                    </a:stretch>
                  </pic:blipFill>
                  <pic:spPr bwMode="auto">
                    <a:xfrm>
                      <a:off x="0" y="0"/>
                      <a:ext cx="710565" cy="789305"/>
                    </a:xfrm>
                    <a:prstGeom prst="rect">
                      <a:avLst/>
                    </a:prstGeom>
                  </pic:spPr>
                </pic:pic>
              </a:graphicData>
            </a:graphic>
          </wp:anchor>
        </w:drawing>
      </w:r>
    </w:p>
    <w:p>
      <w:pPr>
        <w:pStyle w:val="Ttulododocumento"/>
        <w:spacing w:lineRule="atLeast" w:line="100" w:before="0" w:after="0"/>
        <w:jc w:val="center"/>
        <w:rPr>
          <w:rFonts w:ascii="Arial" w:hAnsi="Arial" w:cs="Arial"/>
          <w:b/>
          <w:b/>
          <w:bCs/>
          <w:color w:val="000000"/>
          <w:sz w:val="20"/>
          <w:szCs w:val="20"/>
        </w:rPr>
      </w:pPr>
      <w:r>
        <w:rPr>
          <w:rFonts w:cs="Arial" w:ascii="Arial" w:hAnsi="Arial"/>
          <w:b/>
          <w:bCs/>
          <w:color w:val="000000"/>
          <w:sz w:val="20"/>
          <w:szCs w:val="20"/>
        </w:rPr>
        <w:t>MINISTÉRIO DA DEFESA</w:t>
      </w:r>
    </w:p>
    <w:p>
      <w:pPr>
        <w:pStyle w:val="Ttulododocumento"/>
        <w:spacing w:lineRule="atLeast" w:line="100" w:before="0" w:after="0"/>
        <w:jc w:val="center"/>
        <w:rPr>
          <w:rFonts w:ascii="Arial" w:hAnsi="Arial" w:cs="Arial"/>
          <w:b/>
          <w:b/>
          <w:bCs/>
          <w:color w:val="000000"/>
          <w:sz w:val="20"/>
          <w:szCs w:val="20"/>
        </w:rPr>
      </w:pPr>
      <w:r>
        <w:rPr>
          <w:rFonts w:cs="Arial" w:ascii="Arial" w:hAnsi="Arial"/>
          <w:b/>
          <w:bCs/>
          <w:color w:val="000000"/>
          <w:sz w:val="20"/>
          <w:szCs w:val="20"/>
        </w:rPr>
        <w:t>EXÉRCITO BRASILEIRO</w:t>
      </w:r>
    </w:p>
    <w:p>
      <w:pPr>
        <w:pStyle w:val="Ttulododocumento"/>
        <w:spacing w:lineRule="atLeast" w:line="100" w:before="0" w:after="0"/>
        <w:jc w:val="center"/>
        <w:rPr>
          <w:rFonts w:ascii="Arial" w:hAnsi="Arial" w:cs="Arial"/>
          <w:b/>
          <w:b/>
          <w:bCs/>
          <w:color w:val="000000"/>
          <w:sz w:val="20"/>
          <w:szCs w:val="20"/>
        </w:rPr>
      </w:pPr>
      <w:r>
        <w:rPr>
          <w:rFonts w:cs="Arial" w:ascii="Arial" w:hAnsi="Arial"/>
          <w:b/>
          <w:bCs/>
          <w:color w:val="000000"/>
          <w:sz w:val="20"/>
          <w:szCs w:val="20"/>
        </w:rPr>
        <w:t>HOSPITAL MILITAR DE RESENDE</w:t>
      </w:r>
    </w:p>
    <w:p>
      <w:pPr>
        <w:pStyle w:val="Normal"/>
        <w:spacing w:lineRule="atLeast" w:line="100"/>
        <w:jc w:val="center"/>
        <w:rPr>
          <w:rFonts w:ascii="Arial" w:hAnsi="Arial" w:cs="Arial"/>
          <w:b/>
          <w:b/>
          <w:bCs/>
          <w:color w:val="000000"/>
          <w:sz w:val="20"/>
          <w:szCs w:val="20"/>
        </w:rPr>
      </w:pPr>
      <w:r>
        <w:rPr>
          <w:rFonts w:cs="Arial" w:ascii="Arial" w:hAnsi="Arial"/>
          <w:b/>
          <w:bCs/>
          <w:color w:val="000000"/>
          <w:sz w:val="20"/>
          <w:szCs w:val="20"/>
        </w:rPr>
      </w:r>
    </w:p>
    <w:p>
      <w:pPr>
        <w:pStyle w:val="Normal"/>
        <w:spacing w:lineRule="atLeast" w:line="100"/>
        <w:jc w:val="center"/>
        <w:rPr/>
      </w:pPr>
      <w:r>
        <w:rPr>
          <w:rFonts w:cs="Arial" w:ascii="Arial" w:hAnsi="Arial"/>
          <w:b/>
          <w:color w:val="000000"/>
          <w:sz w:val="20"/>
          <w:szCs w:val="20"/>
          <w:u w:val="single"/>
        </w:rPr>
        <w:t>ATA DE REGISTRO DE PREÇOS Nº</w:t>
      </w:r>
      <w:r>
        <w:rPr>
          <w:rFonts w:cs="Arial" w:ascii="Arial" w:hAnsi="Arial"/>
          <w:b/>
          <w:bCs/>
          <w:color w:val="000000"/>
          <w:sz w:val="20"/>
          <w:szCs w:val="20"/>
          <w:u w:val="single"/>
        </w:rPr>
        <w:t xml:space="preserve"> XXXX/202X</w:t>
      </w:r>
    </w:p>
    <w:p>
      <w:pPr>
        <w:pStyle w:val="Normal"/>
        <w:spacing w:lineRule="atLeast" w:line="100"/>
        <w:jc w:val="center"/>
        <w:rPr/>
      </w:pPr>
      <w:r>
        <w:rPr/>
      </w:r>
    </w:p>
    <w:p>
      <w:pPr>
        <w:pStyle w:val="Normal"/>
        <w:spacing w:lineRule="atLeast" w:line="198"/>
        <w:jc w:val="center"/>
        <w:rPr/>
      </w:pPr>
      <w:r>
        <w:rPr>
          <w:rFonts w:cs="Arial" w:ascii="Arial" w:hAnsi="Arial"/>
          <w:b/>
          <w:bCs/>
          <w:color w:val="000000"/>
          <w:sz w:val="20"/>
          <w:szCs w:val="20"/>
        </w:rPr>
        <w:t>PREGÃO ELETRÔNICO N</w:t>
      </w:r>
      <w:r>
        <w:rPr>
          <w:rFonts w:cs="Arial" w:ascii="Arial" w:hAnsi="Arial"/>
          <w:b/>
          <w:bCs/>
          <w:strike/>
          <w:color w:val="000000"/>
          <w:sz w:val="20"/>
          <w:szCs w:val="20"/>
        </w:rPr>
        <w:t>º</w:t>
      </w:r>
      <w:r>
        <w:rPr>
          <w:rFonts w:cs="Arial" w:ascii="Arial" w:hAnsi="Arial"/>
          <w:b/>
          <w:bCs/>
          <w:color w:val="000000"/>
          <w:sz w:val="20"/>
          <w:szCs w:val="20"/>
        </w:rPr>
        <w:t xml:space="preserve"> 900</w:t>
      </w:r>
      <w:r>
        <w:rPr>
          <w:rFonts w:cs="Arial" w:ascii="Arial" w:hAnsi="Arial"/>
          <w:b/>
          <w:bCs/>
          <w:color w:val="000000"/>
          <w:sz w:val="20"/>
          <w:szCs w:val="20"/>
        </w:rPr>
        <w:t>14</w:t>
      </w:r>
      <w:r>
        <w:rPr>
          <w:rFonts w:cs="Arial" w:ascii="Arial" w:hAnsi="Arial"/>
          <w:b/>
          <w:bCs/>
          <w:color w:val="000000"/>
          <w:sz w:val="20"/>
          <w:szCs w:val="20"/>
        </w:rPr>
        <w:t>/2024</w:t>
      </w:r>
    </w:p>
    <w:p>
      <w:pPr>
        <w:pStyle w:val="Normal"/>
        <w:spacing w:lineRule="atLeast" w:line="198"/>
        <w:jc w:val="center"/>
        <w:rPr/>
      </w:pPr>
      <w:r>
        <w:rPr>
          <w:rFonts w:cs="Arial" w:ascii="Arial" w:hAnsi="Arial"/>
          <w:b/>
          <w:bCs/>
          <w:color w:val="000000"/>
          <w:sz w:val="20"/>
          <w:szCs w:val="20"/>
        </w:rPr>
        <w:t>Sistema de Registro de Preços</w:t>
      </w:r>
      <w:r>
        <w:rPr>
          <w:rFonts w:cs="Arial" w:ascii="Arial" w:hAnsi="Arial"/>
          <w:b/>
          <w:bCs/>
          <w:color w:val="000000"/>
          <w:sz w:val="20"/>
          <w:szCs w:val="20"/>
        </w:rPr>
        <w:t>3740</w:t>
      </w:r>
      <w:r>
        <w:rPr>
          <w:rFonts w:eastAsia="HG Mincho Light J;msmincho" w:cs="Arial" w:ascii="Arial" w:hAnsi="Arial"/>
          <w:b/>
          <w:bCs/>
          <w:color w:val="000000"/>
          <w:sz w:val="20"/>
          <w:szCs w:val="20"/>
        </w:rPr>
        <w:t>/2024-</w:t>
      </w:r>
      <w:r>
        <w:rPr>
          <w:rFonts w:eastAsia="HG Mincho Light J;msmincho" w:cs="Arial" w:ascii="Arial" w:hAnsi="Arial"/>
          <w:b/>
          <w:bCs/>
          <w:color w:val="000000"/>
          <w:sz w:val="20"/>
          <w:szCs w:val="20"/>
        </w:rPr>
        <w:t>10</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pPr>
      <w:r>
        <w:rPr>
          <w:rFonts w:cs="Arial" w:ascii="Arial" w:hAnsi="Arial"/>
          <w:color w:val="000000"/>
          <w:sz w:val="20"/>
          <w:szCs w:val="20"/>
          <w:lang w:eastAsia="ar-SA"/>
        </w:rPr>
        <w:t>A União, por intermédio do Hospital Militar de Resende, com sede na Rodovia Presidente Dutra, km 312, Resende/RJ – CEP 27534-970, inscrito no CNPJ/MF sob o nº 09.625.665/0001-65</w:t>
      </w:r>
      <w:r>
        <w:rPr>
          <w:rFonts w:cs="Arial" w:ascii="Arial" w:hAnsi="Arial"/>
          <w:sz w:val="20"/>
          <w:szCs w:val="20"/>
        </w:rPr>
        <w:t xml:space="preserve">, neste ato representado(a) pelo </w:t>
      </w:r>
      <w:r>
        <w:rPr>
          <w:rFonts w:eastAsia="Arial" w:cs="Arial" w:ascii="Arial" w:hAnsi="Arial"/>
          <w:b/>
          <w:bCs/>
          <w:color w:val="000000"/>
          <w:sz w:val="20"/>
          <w:szCs w:val="20"/>
          <w:lang w:eastAsia="ar-SA"/>
        </w:rPr>
        <w:t>Cel UBIRATAN DE OLIVEIRA MAGALHÃES</w:t>
      </w:r>
      <w:r>
        <w:rPr>
          <w:rFonts w:eastAsia="Arial" w:cs="Arial" w:ascii="Arial" w:hAnsi="Arial"/>
          <w:color w:val="000000"/>
          <w:sz w:val="20"/>
          <w:szCs w:val="20"/>
          <w:lang w:eastAsia="ar-SA"/>
        </w:rPr>
        <w:t>, conforme delegação de competência publicada no Diário Oficial nº 91, seção 2, de 16 de maio de 2022</w:t>
      </w:r>
      <w:r>
        <w:rPr>
          <w:rFonts w:cs="Arial" w:ascii="Arial" w:hAnsi="Arial"/>
          <w:sz w:val="20"/>
          <w:szCs w:val="20"/>
        </w:rPr>
        <w:t xml:space="preserve">, portador da matrícula funcional nº ...................,, considerando o julgamento da licitação na modalidade de pregão, na forma eletrônica, para REGISTRO DE PREÇOS nº 90010/2024, publicada no ...... de ...../...../202....., processo administrativo n.º 65362.001332/2024-23, RESOLVE registrar os preços da(s)  empresa(s) indicada(s) e qualificada(s) nesta ATA, de acordo com a classificação por ela(s) alcançada(s) e na(s)  quantidade(s)  cotada(s), atendendo as condições previstas no </w:t>
      </w:r>
      <w:r>
        <w:rPr>
          <w:rFonts w:cs="Arial" w:ascii="Arial" w:hAnsi="Arial"/>
          <w:color w:val="000000"/>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contratação de </w:t>
      </w:r>
      <w:r>
        <w:rPr>
          <w:b/>
          <w:bCs/>
        </w:rPr>
        <w:t>REGISTRO DE PREÇO PARA</w:t>
      </w:r>
      <w:r>
        <w:rPr/>
        <w:t xml:space="preserve"> </w:t>
      </w:r>
      <w:r>
        <w:rPr>
          <w:b/>
          <w:bCs/>
          <w:color w:val="000000"/>
        </w:rPr>
        <w:t xml:space="preserve">AQUISIÇÃO DE </w:t>
      </w:r>
      <w:r>
        <w:rPr>
          <w:b/>
          <w:bCs/>
          <w:color w:val="000000"/>
        </w:rPr>
        <w:t>MEDICAMENTOS</w:t>
      </w:r>
      <w:r>
        <w:rPr>
          <w:color w:val="000000"/>
        </w:rPr>
        <w:t>, especificados no Apêndice A  do Termo de Referência (Anexo I do Edital)</w:t>
      </w:r>
      <w:r>
        <w:rPr/>
        <w:t xml:space="preserve">, </w:t>
      </w:r>
      <w:r>
        <w:rPr>
          <w:color w:val="000000"/>
        </w:rPr>
        <w:t>do Pregão nº 90010/2024</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494"/>
        <w:gridCol w:w="1331"/>
        <w:gridCol w:w="1253"/>
        <w:gridCol w:w="1540"/>
        <w:gridCol w:w="1125"/>
        <w:gridCol w:w="1119"/>
        <w:gridCol w:w="841"/>
        <w:gridCol w:w="839"/>
        <w:gridCol w:w="849"/>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Item</w:t>
            </w:r>
          </w:p>
          <w:p>
            <w:pPr>
              <w:pStyle w:val="Normal"/>
              <w:widowControl w:val="false"/>
              <w:ind w:right="-30" w:hanging="0"/>
              <w:jc w:val="center"/>
              <w:rPr>
                <w:rFonts w:ascii="Arial" w:hAnsi="Arial" w:cs="Arial"/>
                <w:sz w:val="20"/>
                <w:szCs w:val="20"/>
              </w:rPr>
            </w:pPr>
            <w:r>
              <w:rPr>
                <w:rFonts w:cs="Arial" w:ascii="Arial" w:hAnsi="Arial"/>
                <w:sz w:val="20"/>
                <w:szCs w:val="20"/>
              </w:rPr>
              <w:t>do</w:t>
            </w:r>
          </w:p>
          <w:p>
            <w:pPr>
              <w:pStyle w:val="Normal"/>
              <w:widowControl w:val="false"/>
              <w:ind w:right="-30" w:hanging="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tc>
      </w:tr>
      <w:tr>
        <w:trPr>
          <w:trHeight w:val="674" w:hRule="atLeast"/>
        </w:trPr>
        <w:tc>
          <w:tcPr>
            <w:tcW w:w="494"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X</w:t>
            </w:r>
          </w:p>
        </w:tc>
        <w:tc>
          <w:tcPr>
            <w:tcW w:w="1331"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t>Especificação</w:t>
            </w:r>
          </w:p>
        </w:tc>
        <w:tc>
          <w:tcPr>
            <w:tcW w:w="1253"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ind w:right="-30" w:hanging="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ind w:right="-30" w:hanging="0"/>
              <w:jc w:val="center"/>
              <w:rPr>
                <w:rFonts w:ascii="Arial" w:hAnsi="Arial" w:cs="Arial"/>
                <w:i/>
                <w:i/>
                <w:iCs/>
                <w:sz w:val="20"/>
                <w:szCs w:val="20"/>
              </w:rPr>
            </w:pPr>
            <w:r>
              <w:rPr>
                <w:rFonts w:cs="Arial" w:ascii="Arial" w:hAnsi="Arial"/>
                <w:i/>
                <w:iCs/>
                <w:sz w:val="20"/>
                <w:szCs w:val="20"/>
              </w:rPr>
              <w:t>(se exigido no edital)</w:t>
            </w:r>
          </w:p>
        </w:tc>
        <w:tc>
          <w:tcPr>
            <w:tcW w:w="1125"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Quant.</w:t>
            </w:r>
          </w:p>
          <w:p>
            <w:pPr>
              <w:pStyle w:val="Normal"/>
              <w:widowControl w:val="false"/>
              <w:ind w:right="-30" w:hanging="0"/>
              <w:jc w:val="center"/>
              <w:rPr>
                <w:rFonts w:ascii="Arial" w:hAnsi="Arial" w:cs="Arial"/>
                <w:sz w:val="20"/>
                <w:szCs w:val="20"/>
              </w:rPr>
            </w:pPr>
            <w:r>
              <w:rPr>
                <w:rFonts w:cs="Arial" w:ascii="Arial" w:hAnsi="Arial"/>
                <w:sz w:val="20"/>
                <w:szCs w:val="20"/>
              </w:rPr>
              <w:t>Máxima</w:t>
            </w:r>
          </w:p>
        </w:tc>
        <w:tc>
          <w:tcPr>
            <w:tcW w:w="841" w:type="dxa"/>
            <w:tcBorders>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Quant. Mínima</w:t>
            </w:r>
          </w:p>
        </w:tc>
        <w:tc>
          <w:tcPr>
            <w:tcW w:w="839" w:type="dxa"/>
            <w:tcBorders>
              <w:left w:val="single" w:sz="2" w:space="0" w:color="000000"/>
              <w:bottom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sz w:val="20"/>
                <w:szCs w:val="20"/>
              </w:rPr>
              <w:t xml:space="preserve">Valor </w:t>
            </w:r>
          </w:p>
          <w:p>
            <w:pPr>
              <w:pStyle w:val="Normal"/>
              <w:widowControl w:val="false"/>
              <w:ind w:right="-30" w:hanging="0"/>
              <w:jc w:val="center"/>
              <w:rPr>
                <w:rFonts w:ascii="Arial" w:hAnsi="Arial" w:cs="Arial"/>
                <w:sz w:val="20"/>
                <w:szCs w:val="20"/>
              </w:rPr>
            </w:pPr>
            <w:r>
              <w:rPr>
                <w:rFonts w:cs="Arial" w:ascii="Arial" w:hAnsi="Arial"/>
                <w:sz w:val="20"/>
                <w:szCs w:val="20"/>
              </w:rPr>
              <w:t>Unt.</w:t>
            </w:r>
          </w:p>
        </w:tc>
        <w:tc>
          <w:tcPr>
            <w:tcW w:w="849" w:type="dxa"/>
            <w:tcBorders>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331"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25"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c>
          <w:tcPr>
            <w:tcW w:w="849" w:type="dxa"/>
            <w:tcBorders>
              <w:left w:val="single" w:sz="2" w:space="0" w:color="000000"/>
              <w:bottom w:val="single" w:sz="2" w:space="0" w:color="000000"/>
              <w:right w:val="single" w:sz="2" w:space="0" w:color="000000"/>
            </w:tcBorders>
            <w:shd w:color="auto" w:fill="auto" w:val="clear"/>
            <w:vAlign w:val="center"/>
          </w:tcPr>
          <w:p>
            <w:pPr>
              <w:pStyle w:val="Normal"/>
              <w:widowControl w:val="false"/>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PARTICIPANTE(S)</w:t>
      </w:r>
    </w:p>
    <w:p>
      <w:pPr>
        <w:pStyle w:val="Nivel2"/>
        <w:numPr>
          <w:ilvl w:val="1"/>
          <w:numId w:val="1"/>
        </w:numPr>
        <w:ind w:left="0" w:hanging="0"/>
        <w:rPr/>
      </w:pPr>
      <w:r>
        <w:rPr/>
        <w:t xml:space="preserve">O órgão gerenciador será o </w:t>
      </w:r>
      <w:r>
        <w:rPr>
          <w:rFonts w:eastAsia="Arial"/>
          <w:color w:val="000000"/>
          <w:shd w:fill="FFFFFF" w:val="clear"/>
        </w:rPr>
        <w:t>Hospital Militar de Resende.</w:t>
      </w:r>
    </w:p>
    <w:p>
      <w:pPr>
        <w:pStyle w:val="Normal"/>
        <w:widowControl w:val="false"/>
        <w:numPr>
          <w:ilvl w:val="1"/>
          <w:numId w:val="1"/>
        </w:numPr>
        <w:spacing w:lineRule="atLeast" w:line="100"/>
        <w:ind w:left="0" w:hanging="0"/>
        <w:jc w:val="both"/>
        <w:rPr/>
      </w:pPr>
      <w:r>
        <w:rPr>
          <w:rFonts w:eastAsia="Arial" w:cs="Arial" w:ascii="Arial" w:hAnsi="Arial"/>
          <w:color w:val="000000"/>
          <w:sz w:val="20"/>
          <w:szCs w:val="20"/>
          <w:lang w:eastAsia="en-US"/>
        </w:rPr>
        <w:t>Além do gerenciador, há órgão participante do registro de preços:</w:t>
      </w:r>
    </w:p>
    <w:p>
      <w:pPr>
        <w:pStyle w:val="Normal"/>
        <w:widowControl w:val="false"/>
        <w:spacing w:lineRule="atLeast" w:line="100"/>
        <w:ind w:left="1283" w:hanging="0"/>
        <w:jc w:val="both"/>
        <w:rPr>
          <w:rFonts w:ascii="Arial" w:hAnsi="Arial" w:eastAsia="Arial" w:cs="Arial"/>
          <w:color w:val="000000"/>
          <w:sz w:val="20"/>
          <w:szCs w:val="20"/>
          <w:lang w:eastAsia="en-US"/>
        </w:rPr>
      </w:pPr>
      <w:r>
        <w:rPr>
          <w:rFonts w:eastAsia="Arial" w:cs="Arial" w:ascii="Arial" w:hAnsi="Arial"/>
          <w:color w:val="000000"/>
          <w:sz w:val="20"/>
          <w:szCs w:val="20"/>
          <w:lang w:eastAsia="en-US"/>
        </w:rPr>
      </w:r>
    </w:p>
    <w:tbl>
      <w:tblPr>
        <w:tblW w:w="8978" w:type="dxa"/>
        <w:jc w:val="left"/>
        <w:tblInd w:w="0" w:type="dxa"/>
        <w:tblCellMar>
          <w:top w:w="0" w:type="dxa"/>
          <w:left w:w="108" w:type="dxa"/>
          <w:bottom w:w="0" w:type="dxa"/>
          <w:right w:w="108" w:type="dxa"/>
        </w:tblCellMar>
        <w:tblLook w:firstRow="1" w:noVBand="0" w:lastRow="1" w:firstColumn="1" w:lastColumn="1" w:noHBand="0" w:val="01e0"/>
      </w:tblPr>
      <w:tblGrid>
        <w:gridCol w:w="2244"/>
        <w:gridCol w:w="2245"/>
        <w:gridCol w:w="2245"/>
        <w:gridCol w:w="2243"/>
      </w:tblGrid>
      <w:tr>
        <w:trPr/>
        <w:tc>
          <w:tcPr>
            <w:tcW w:w="22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b/>
                <w:b/>
                <w:bCs/>
                <w:color w:val="000000"/>
              </w:rPr>
            </w:pPr>
            <w:r>
              <w:rPr>
                <w:rFonts w:cs="Arial" w:ascii="Arial" w:hAnsi="Arial"/>
                <w:b/>
                <w:bCs/>
                <w:i/>
                <w:iCs/>
                <w:color w:val="000000"/>
                <w:sz w:val="20"/>
                <w:szCs w:val="20"/>
              </w:rPr>
              <w:t xml:space="preserve">Item nº </w:t>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b/>
                <w:b/>
                <w:bCs/>
                <w:color w:val="000000"/>
              </w:rPr>
            </w:pPr>
            <w:r>
              <w:rPr>
                <w:rFonts w:cs="Arial" w:ascii="Arial" w:hAnsi="Arial"/>
                <w:b/>
                <w:bCs/>
                <w:i/>
                <w:iCs/>
                <w:color w:val="000000"/>
                <w:sz w:val="20"/>
                <w:szCs w:val="20"/>
              </w:rPr>
              <w:t>Órgão Participante</w:t>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b/>
                <w:b/>
                <w:bCs/>
                <w:color w:val="000000"/>
              </w:rPr>
            </w:pPr>
            <w:r>
              <w:rPr>
                <w:rFonts w:cs="Arial" w:ascii="Arial" w:hAnsi="Arial"/>
                <w:b/>
                <w:bCs/>
                <w:i/>
                <w:iCs/>
                <w:color w:val="000000"/>
                <w:sz w:val="20"/>
                <w:szCs w:val="20"/>
              </w:rPr>
              <w:t>Unidade</w:t>
            </w:r>
          </w:p>
        </w:tc>
        <w:tc>
          <w:tcPr>
            <w:tcW w:w="22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b/>
                <w:b/>
                <w:bCs/>
                <w:color w:val="000000"/>
              </w:rPr>
            </w:pPr>
            <w:r>
              <w:rPr>
                <w:rFonts w:cs="Arial" w:ascii="Arial" w:hAnsi="Arial"/>
                <w:b/>
                <w:bCs/>
                <w:i/>
                <w:iCs/>
                <w:color w:val="00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c>
          <w:tcPr>
            <w:tcW w:w="22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360" w:right="-30" w:hanging="0"/>
              <w:jc w:val="center"/>
              <w:rPr>
                <w:rFonts w:ascii="Arial" w:hAnsi="Arial" w:cs="Arial"/>
                <w:i/>
                <w:i/>
                <w:iCs/>
                <w:color w:val="FF0000"/>
                <w:sz w:val="20"/>
                <w:szCs w:val="20"/>
              </w:rPr>
            </w:pPr>
            <w:r>
              <w:rPr>
                <w:rFonts w:cs="Arial" w:ascii="Arial" w:hAnsi="Arial"/>
                <w:i/>
                <w:iCs/>
                <w:color w:val="FF0000"/>
                <w:sz w:val="20"/>
                <w:szCs w:val="20"/>
              </w:rPr>
            </w:r>
          </w:p>
        </w:tc>
      </w:tr>
    </w:tbl>
    <w:p>
      <w:pPr>
        <w:pStyle w:val="Normal"/>
        <w:widowControl w:val="false"/>
        <w:spacing w:lineRule="atLeast" w:line="100"/>
        <w:ind w:left="1283" w:hanging="0"/>
        <w:jc w:val="both"/>
        <w:rPr>
          <w:rFonts w:ascii="Arial" w:hAnsi="Arial" w:eastAsia="Arial" w:cs="Arial"/>
          <w:color w:val="000000"/>
          <w:sz w:val="20"/>
          <w:szCs w:val="20"/>
          <w:lang w:eastAsia="en-US"/>
        </w:rPr>
      </w:pPr>
      <w:r>
        <w:rPr>
          <w:rFonts w:eastAsia="Arial" w:cs="Arial" w:ascii="Arial" w:hAnsi="Arial"/>
          <w:color w:val="000000"/>
          <w:sz w:val="20"/>
          <w:szCs w:val="20"/>
          <w:lang w:eastAsia="en-US"/>
        </w:rPr>
      </w:r>
    </w:p>
    <w:p>
      <w:pPr>
        <w:pStyle w:val="Nvel2Red"/>
        <w:ind w:left="360" w:hanging="0"/>
        <w:rPr/>
      </w:pPr>
      <w:r>
        <w:rPr/>
      </w:r>
    </w:p>
    <w:p>
      <w:pPr>
        <w:pStyle w:val="Nivel01"/>
        <w:numPr>
          <w:ilvl w:val="0"/>
          <w:numId w:val="1"/>
        </w:numPr>
        <w:ind w:left="0" w:hanging="0"/>
        <w:rPr/>
      </w:pPr>
      <w:r>
        <w:rPr/>
        <w:t xml:space="preserve">DA ADESÃO À ATA DE REGISTRO DE PREÇOS </w:t>
      </w:r>
    </w:p>
    <w:p>
      <w:pPr>
        <w:pStyle w:val="Normal"/>
        <w:widowControl w:val="false"/>
        <w:spacing w:lineRule="atLeast" w:line="100"/>
        <w:ind w:left="360" w:hanging="0"/>
        <w:jc w:val="both"/>
        <w:rPr>
          <w:rFonts w:ascii="Arial" w:hAnsi="Arial" w:cs="Arial"/>
          <w:color w:val="000000"/>
          <w:sz w:val="20"/>
          <w:szCs w:val="20"/>
          <w:lang w:eastAsia="en-US"/>
        </w:rPr>
      </w:pPr>
      <w:r>
        <w:rPr>
          <w:rFonts w:cs="Arial" w:ascii="Arial" w:hAnsi="Arial"/>
          <w:color w:val="000000"/>
          <w:sz w:val="20"/>
          <w:szCs w:val="20"/>
          <w:lang w:eastAsia="en-US"/>
        </w:rPr>
      </w:r>
    </w:p>
    <w:p>
      <w:pPr>
        <w:pStyle w:val="Nvel2Red"/>
        <w:ind w:left="360" w:hanging="0"/>
        <w:rPr>
          <w:i w:val="false"/>
          <w:i w:val="false"/>
          <w:iCs w:val="false"/>
          <w:color w:val="000000"/>
        </w:rPr>
      </w:pPr>
      <w:r>
        <w:rPr>
          <w:i w:val="false"/>
          <w:iCs w:val="false"/>
          <w:color w:val="000000"/>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ind w:left="1781" w:hanging="0"/>
        <w:rPr>
          <w:i w:val="false"/>
          <w:i w:val="false"/>
          <w:iCs w:val="false"/>
          <w:color w:val="000000"/>
        </w:rPr>
      </w:pPr>
      <w:r>
        <w:rPr>
          <w:i w:val="false"/>
          <w:iCs w:val="false"/>
          <w:color w:val="000000"/>
        </w:rPr>
        <w:t>4.1.1. apresentação de justificativa da vantagem da adesão, inclusive em situações de provável desabastecimento ou descontinuidade de serviço público;</w:t>
      </w:r>
    </w:p>
    <w:p>
      <w:pPr>
        <w:pStyle w:val="Nvel3R"/>
        <w:ind w:left="1781" w:hanging="0"/>
        <w:rPr>
          <w:i w:val="false"/>
          <w:i w:val="false"/>
          <w:iCs w:val="false"/>
          <w:color w:val="000000"/>
        </w:rPr>
      </w:pPr>
      <w:r>
        <w:rPr>
          <w:i w:val="false"/>
          <w:iCs w:val="false"/>
          <w:color w:val="000000"/>
        </w:rPr>
        <w:t>4.1.2. demonstração de que os valores registrados estão compatíveis com os valores praticados pelo mercado na forma do art. 23 da Lei nº 14.133, de 2021; e</w:t>
      </w:r>
    </w:p>
    <w:p>
      <w:pPr>
        <w:pStyle w:val="Nvel3R"/>
        <w:ind w:left="1781" w:hanging="0"/>
        <w:rPr>
          <w:i w:val="false"/>
          <w:i w:val="false"/>
          <w:iCs w:val="false"/>
          <w:color w:val="000000"/>
        </w:rPr>
      </w:pPr>
      <w:r>
        <w:rPr>
          <w:i w:val="false"/>
          <w:iCs w:val="false"/>
          <w:color w:val="000000"/>
        </w:rPr>
        <w:t>4.1.3. consulta e aceitação prévias do órgão ou da entidade gerenciadora e do fornecedor.</w:t>
      </w:r>
    </w:p>
    <w:p>
      <w:pPr>
        <w:pStyle w:val="Nvel3R"/>
        <w:ind w:left="1497" w:hanging="0"/>
        <w:rPr>
          <w:i w:val="false"/>
          <w:i w:val="false"/>
          <w:iCs w:val="false"/>
          <w:color w:val="000000"/>
        </w:rPr>
      </w:pPr>
      <w:r>
        <w:rPr>
          <w:i w:val="false"/>
          <w:iCs w:val="false"/>
          <w:color w:val="000000"/>
        </w:rPr>
        <w:t>4.2. A autorização do órgão ou entidade gerenciadora apenas será realizada após a aceitação da adesão pelo fornecedor.</w:t>
      </w:r>
    </w:p>
    <w:p>
      <w:pPr>
        <w:pStyle w:val="Nvel3R"/>
        <w:ind w:left="1781" w:hanging="0"/>
        <w:rPr>
          <w:i w:val="false"/>
          <w:i w:val="false"/>
          <w:iCs w:val="false"/>
          <w:color w:val="000000"/>
        </w:rPr>
      </w:pPr>
      <w:r>
        <w:rPr>
          <w:i w:val="false"/>
          <w:iCs w:val="false"/>
          <w:color w:val="000000"/>
        </w:rPr>
        <w:t>4.2.1. O órgão ou entidade gerenciadora poderá rejeitar adesões caso elas possam acarretar prejuízo à execução de seus próprios contratos ou à sua capacidade de gerenciamento.</w:t>
      </w:r>
    </w:p>
    <w:p>
      <w:pPr>
        <w:pStyle w:val="Nvel2Red"/>
        <w:ind w:left="700" w:hanging="0"/>
        <w:rPr>
          <w:i w:val="false"/>
          <w:i w:val="false"/>
          <w:iCs w:val="false"/>
          <w:color w:val="000000"/>
        </w:rPr>
      </w:pPr>
      <w:r>
        <w:rPr>
          <w:i w:val="false"/>
          <w:iCs w:val="false"/>
          <w:color w:val="000000"/>
        </w:rPr>
        <w:t>4.2.2. Após a autorização do órgão ou da entidade gerenciadora, o órgão ou entidade não participante deverá efetivar a aquisição ou a contratação solicitada em até noventa dias, observado o prazo de vigência da ata.</w:t>
      </w:r>
    </w:p>
    <w:p>
      <w:pPr>
        <w:pStyle w:val="Nvel2Red"/>
        <w:ind w:left="360" w:hanging="0"/>
        <w:rPr>
          <w:i w:val="false"/>
          <w:i w:val="false"/>
          <w:iCs w:val="false"/>
          <w:color w:val="000000"/>
        </w:rPr>
      </w:pPr>
      <w:r>
        <w:rPr>
          <w:i w:val="false"/>
          <w:iCs w:val="false"/>
          <w:color w:val="000000"/>
        </w:rPr>
        <w:t>4.2.3.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ind w:left="360" w:hanging="0"/>
        <w:rPr>
          <w:i w:val="false"/>
          <w:i w:val="false"/>
          <w:iCs w:val="false"/>
          <w:color w:val="000000"/>
        </w:rPr>
      </w:pPr>
      <w:r>
        <w:rPr>
          <w:i w:val="false"/>
          <w:iCs w:val="false"/>
          <w:color w:val="000000"/>
        </w:rPr>
        <w:t>4.2.4. 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Cs w:val="false"/>
          <w:color w:val="000000"/>
        </w:rPr>
      </w:pPr>
      <w:r>
        <w:rPr>
          <w:iCs w:val="false"/>
          <w:color w:val="000000"/>
        </w:rPr>
        <w:t>Dos limites para as adesões</w:t>
      </w:r>
    </w:p>
    <w:p>
      <w:pPr>
        <w:pStyle w:val="Nvel2Red"/>
        <w:ind w:left="360" w:hanging="0"/>
        <w:rPr>
          <w:i w:val="false"/>
          <w:i w:val="false"/>
          <w:iCs w:val="false"/>
          <w:color w:val="000000"/>
        </w:rPr>
      </w:pPr>
      <w:r>
        <w:rPr>
          <w:i w:val="false"/>
          <w:iCs w:val="false"/>
          <w:color w:val="000000"/>
        </w:rPr>
        <w:t>4.3. As aquisições ou contratações adicionais não poderão exceder, por órgão ou entidade, a cinquenta por cento dos quantitativos dos itens do instrumento convocatório registrado na ata de registro de preços para o gerenciador e para os participantes.</w:t>
      </w:r>
    </w:p>
    <w:p>
      <w:pPr>
        <w:pStyle w:val="Nvel2Red"/>
        <w:ind w:left="360" w:hanging="0"/>
        <w:rPr>
          <w:i w:val="false"/>
          <w:i w:val="false"/>
          <w:iCs w:val="false"/>
          <w:color w:val="000000"/>
        </w:rPr>
      </w:pPr>
      <w:r>
        <w:rPr>
          <w:i w:val="false"/>
          <w:iCs w:val="false"/>
          <w:color w:val="000000"/>
        </w:rPr>
        <w:t>4.4.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ind w:left="360" w:hanging="0"/>
        <w:rPr>
          <w:i w:val="false"/>
          <w:i w:val="false"/>
          <w:iCs w:val="false"/>
          <w:color w:val="000000"/>
        </w:rPr>
      </w:pPr>
      <w:r>
        <w:rPr>
          <w:i w:val="false"/>
          <w:iCs w:val="false"/>
          <w:color w:val="000000"/>
        </w:rPr>
        <w:t>4.5. 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4.3.</w:t>
      </w:r>
    </w:p>
    <w:p>
      <w:pPr>
        <w:pStyle w:val="Nivel2"/>
        <w:ind w:left="1283" w:hanging="0"/>
        <w:rPr/>
      </w:pPr>
      <w:r>
        <w:rPr/>
        <w:t>4.6. 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4.3,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ind w:left="284" w:hanging="0"/>
        <w:rPr/>
      </w:pPr>
      <w:r>
        <w:rPr/>
        <w:t>4.7. É vedado efetuar acréscimos nos quantitativos fixados na ata de registro de preços.</w:t>
      </w:r>
    </w:p>
    <w:p>
      <w:pPr>
        <w:pStyle w:val="Nivel01"/>
        <w:rPr/>
      </w:pPr>
      <w:r>
        <w:rPr/>
        <w:t>VALIDADE, FORMALIZAÇÃO DA ATA DE REGISTRO DE PREÇOS E CADASTRO RESERVA</w:t>
      </w:r>
    </w:p>
    <w:p>
      <w:pPr>
        <w:pStyle w:val="Nivel2"/>
        <w:numPr>
          <w:ilvl w:val="1"/>
          <w:numId w:val="2"/>
        </w:numPr>
        <w:tabs>
          <w:tab w:val="clear" w:pos="708"/>
          <w:tab w:val="left" w:pos="709" w:leader="none"/>
          <w:tab w:val="left" w:pos="851" w:leader="none"/>
        </w:tabs>
        <w:ind w:left="426" w:hanging="0"/>
        <w:rPr>
          <w:iCs/>
        </w:rPr>
      </w:pPr>
      <w:r>
        <w:rPr/>
        <w:t xml:space="preserve">A validade da Ata de Registro de Preços será de 1 (um) ano, contado a partir do primeiro dia útil subsequente à data de divulgação no PNCP, </w:t>
      </w:r>
      <w:r>
        <w:rPr>
          <w:color w:val="000000"/>
        </w:rPr>
        <w:t>podendo ser prorrogada por igual período, mediante a anuência do fornecedor, desde que comprovado o preço vantajoso.</w:t>
      </w:r>
    </w:p>
    <w:p>
      <w:pPr>
        <w:pStyle w:val="Nvel3"/>
        <w:ind w:left="360" w:hanging="0"/>
        <w:rPr/>
      </w:pPr>
      <w:r>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ind w:left="360" w:hanging="0"/>
        <w:rPr/>
      </w:pPr>
      <w:r>
        <w:rPr/>
        <w:t>5.3. Na formalização do contrato ou do instrumento substituto deverá haver a indicação da disponibilidade dos créditos orçamentários respectivos.</w:t>
      </w:r>
    </w:p>
    <w:p>
      <w:pPr>
        <w:pStyle w:val="Nivel2"/>
        <w:ind w:left="1283" w:hanging="0"/>
        <w:rPr/>
      </w:pPr>
      <w:r>
        <w:rPr/>
        <w:t>5.4. 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ind w:left="360" w:hanging="0"/>
        <w:rPr/>
      </w:pPr>
      <w:r>
        <w:rPr/>
        <w:t>5.5. O instrumento contratual de que trata o item 5.2. deverá ser assinado no prazo de validade da ata de registro de preços.</w:t>
      </w:r>
    </w:p>
    <w:p>
      <w:pPr>
        <w:pStyle w:val="Nivel2"/>
        <w:ind w:left="1283" w:hanging="0"/>
        <w:rPr/>
      </w:pPr>
      <w:r>
        <w:rPr/>
        <w:t>5.6. Os contratos decorrentes do sistema de registro de preços poderão ser alterados, observado o art. 124 da Lei nº 14.133, de 2021.</w:t>
      </w:r>
    </w:p>
    <w:p>
      <w:pPr>
        <w:pStyle w:val="Nivel2"/>
        <w:ind w:left="1283" w:hanging="0"/>
        <w:rPr/>
      </w:pPr>
      <w:r>
        <w:rPr/>
        <w:t>5.7. Após a homologação da licitação ou da contratação direta, deverão ser observadas as seguintes condições para formalização da ata de registro de preços:</w:t>
      </w:r>
    </w:p>
    <w:p>
      <w:pPr>
        <w:pStyle w:val="Nvel3"/>
        <w:ind w:left="360" w:hanging="0"/>
        <w:rPr/>
      </w:pPr>
      <w:r>
        <w:rPr/>
        <w:t>5.8. 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color w:val="000000"/>
        </w:rPr>
        <w:t xml:space="preserve">no edital, </w:t>
      </w:r>
      <w:r>
        <w:rPr/>
        <w:t>e se obrigar nos limites dela;</w:t>
      </w:r>
    </w:p>
    <w:p>
      <w:pPr>
        <w:pStyle w:val="Nvel3"/>
        <w:ind w:left="360" w:hanging="0"/>
        <w:rPr/>
      </w:pPr>
      <w:r>
        <w:rPr/>
        <w:t>5.9. Será incluído na ata, na forma de anexo, o registro dos licitantes ou dos fornecedores que:</w:t>
      </w:r>
    </w:p>
    <w:p>
      <w:pPr>
        <w:pStyle w:val="Nvel4"/>
        <w:ind w:left="2295" w:hanging="0"/>
        <w:rPr/>
      </w:pPr>
      <w:r>
        <w:rPr/>
        <w:t xml:space="preserve">5.9.1. Aceitarem cotar os bens, as obras ou os serviços com preços iguais aos do adjudicatário, observada a classificação da licitação; e </w:t>
      </w:r>
    </w:p>
    <w:p>
      <w:pPr>
        <w:pStyle w:val="Nvel4"/>
        <w:ind w:left="2295" w:hanging="0"/>
        <w:rPr/>
      </w:pPr>
      <w:r>
        <w:rPr/>
        <w:t xml:space="preserve">5.9.2. Mantiverem sua proposta original. </w:t>
      </w:r>
      <w:bookmarkStart w:id="0" w:name="cadastro_reserva"/>
      <w:bookmarkEnd w:id="0"/>
    </w:p>
    <w:p>
      <w:pPr>
        <w:pStyle w:val="Nvel3"/>
        <w:ind w:left="360" w:hanging="0"/>
        <w:rPr/>
      </w:pPr>
      <w:r>
        <w:rPr/>
        <w:t>5.10. Será respeitada, nas contratações, a ordem de classificação dos licitantes ou dos fornecedores registrados na ata.</w:t>
      </w:r>
    </w:p>
    <w:p>
      <w:pPr>
        <w:pStyle w:val="Nivel2"/>
        <w:ind w:left="1283" w:hanging="0"/>
        <w:rPr/>
      </w:pPr>
      <w:r>
        <w:rPr/>
        <w:t>5.11. O registro a que se refere o item 5.9</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ind w:left="1283" w:hanging="0"/>
        <w:rPr/>
      </w:pPr>
      <w:r>
        <w:rPr/>
        <w:t>5.12. Para fins da ordem de classificação, os licitantes ou fornecedores que aceitarem reduzir suas propostas para o preço do adjudicatário antecederão aqueles que mantiverem sua proposta original.</w:t>
      </w:r>
    </w:p>
    <w:p>
      <w:pPr>
        <w:pStyle w:val="Nivel2"/>
        <w:ind w:left="1283" w:hanging="0"/>
        <w:rPr/>
      </w:pPr>
      <w:r>
        <w:rPr/>
        <w:t>5.13. A habilitação dos licitantes que comporão o cadastro de reserva a que se refere o item 5.9 somente será efetuada quando houver necessidade de contratação dos licitantes remanescentes, nas seguintes hipóteses:</w:t>
      </w:r>
    </w:p>
    <w:p>
      <w:pPr>
        <w:pStyle w:val="Nvel3"/>
        <w:ind w:left="360" w:hanging="0"/>
        <w:rPr/>
      </w:pPr>
      <w:r>
        <w:rPr/>
        <w:t xml:space="preserve">5.14. Quando o licitante vencedor não assinar a ata de registro de preços, no prazo e nas condições estabelecidos </w:t>
      </w:r>
      <w:r>
        <w:rPr>
          <w:color w:val="000000"/>
        </w:rPr>
        <w:t>no edital;</w:t>
      </w:r>
      <w:r>
        <w:rPr>
          <w:color w:val="FF0000"/>
        </w:rPr>
        <w:t xml:space="preserve"> </w:t>
      </w:r>
      <w:r>
        <w:rPr/>
        <w:t>e</w:t>
      </w:r>
    </w:p>
    <w:p>
      <w:pPr>
        <w:pStyle w:val="Nvel3"/>
        <w:ind w:left="360" w:hanging="0"/>
        <w:rPr/>
      </w:pPr>
      <w:r>
        <w:rPr/>
        <w:t xml:space="preserve">5.15. Quando houver o cancelamento do registro do licitante ou do registro de preços nas hipóteses previstas no item </w:t>
      </w:r>
      <w:r>
        <w:rPr/>
        <w:fldChar w:fldCharType="begin"/>
      </w:r>
      <w:r>
        <w:rPr/>
        <w:instrText> REF cancelamento \r \h </w:instrText>
      </w:r>
      <w:r>
        <w:rPr/>
        <w:fldChar w:fldCharType="separate"/>
      </w:r>
      <w:r>
        <w:rPr/>
        <w:t>9</w:t>
      </w:r>
      <w:r>
        <w:rPr/>
        <w:fldChar w:fldCharType="end"/>
      </w:r>
      <w:r>
        <w:rPr/>
        <w:t>.</w:t>
      </w:r>
    </w:p>
    <w:p>
      <w:pPr>
        <w:pStyle w:val="Nivel2"/>
        <w:numPr>
          <w:ilvl w:val="1"/>
          <w:numId w:val="2"/>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2"/>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ind w:left="360" w:hanging="0"/>
        <w:rPr/>
      </w:pPr>
      <w:r>
        <w:rPr/>
        <w:t>5.4.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ind w:left="1283" w:hanging="0"/>
        <w:rPr/>
      </w:pPr>
      <w:r>
        <w:rPr/>
        <w:t>5.5. A ata de registro de preços será assinada por meio de assinatura digital e disponibilizada no Sistema de Registro de Preços.</w:t>
      </w:r>
    </w:p>
    <w:p>
      <w:pPr>
        <w:pStyle w:val="Nivel2"/>
        <w:ind w:left="1283" w:hanging="0"/>
        <w:rPr/>
      </w:pPr>
      <w:r>
        <w:rPr/>
        <w:t xml:space="preserve">5.6. </w:t>
      </w:r>
      <w:bookmarkStart w:id="1" w:name="__DdeLink__5058_3477533220"/>
      <w:r>
        <w:rPr/>
        <w:t>Quando o convocado não assinar</w:t>
      </w:r>
      <w:bookmarkEnd w:id="1"/>
      <w:r>
        <w:rPr/>
        <w:t xml:space="preserve"> a ata de registro de preços no prazo e nas condições estabelecidos no edital ou no aviso de contratação, e observado o disposto</w:t>
      </w:r>
      <w:r>
        <w:rPr>
          <w:color w:val="000000"/>
        </w:rPr>
        <w:t xml:space="preserve"> no item 5.9 observando</w:t>
      </w:r>
      <w:r>
        <w:rPr/>
        <w:t xml:space="preserve"> o item 5.7 e subitens, fica facultado à Administração convocar os licitantes remanescentes do cadastro de reserva, na ordem de classificação, para fazê-lo em igual prazo e nas condições propostas pelo primeiro classificado.</w:t>
      </w:r>
    </w:p>
    <w:p>
      <w:pPr>
        <w:pStyle w:val="Nivel2"/>
        <w:ind w:left="1283" w:hanging="0"/>
        <w:rPr/>
      </w:pPr>
      <w:r>
        <w:rPr/>
        <w:t>5.7. Na hipótese de nenhum dos licitantes que trata o item 5.9.1, aceitar a contratação nos termos do item anterior, a Administração, observados o valor es</w:t>
      </w:r>
      <w:r>
        <w:rPr>
          <w:rFonts w:eastAsia="Arial"/>
        </w:rPr>
        <w:t>ti</w:t>
      </w:r>
      <w:r>
        <w:rPr/>
        <w:t xml:space="preserve">mado e sua eventual atualização nos termos </w:t>
      </w:r>
      <w:r>
        <w:rPr>
          <w:color w:val="000000"/>
        </w:rPr>
        <w:t>do edital</w:t>
      </w:r>
      <w:r>
        <w:rPr/>
        <w:t>, poderá:</w:t>
      </w:r>
    </w:p>
    <w:p>
      <w:pPr>
        <w:pStyle w:val="Nvel3"/>
        <w:ind w:left="1837" w:hanging="0"/>
        <w:rPr/>
      </w:pPr>
      <w:r>
        <w:rPr/>
        <w:t>5.7.1.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ind w:left="360" w:hanging="0"/>
        <w:rPr/>
      </w:pPr>
      <w:r>
        <w:rPr/>
        <w:t>5.7.2. Adjudicar e firmar o contrato nas condições ofertadas pelos licitantes ou fornecedores remanescentes, atendida a ordem classificatória, quando frustrada a negociação de melhor condição.</w:t>
      </w:r>
    </w:p>
    <w:p>
      <w:pPr>
        <w:pStyle w:val="Nivel2"/>
        <w:ind w:left="1283" w:hanging="0"/>
        <w:rPr/>
      </w:pPr>
      <w:r>
        <w:rPr/>
        <w:t>5.8.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2"/>
        </w:numPr>
        <w:ind w:left="0" w:hanging="0"/>
        <w:rPr/>
      </w:pPr>
      <w:r>
        <w:rPr/>
        <w:t>ALTERAÇÃO OU ATUALIZAÇÃO DOS PREÇOS REGISTRADOS</w:t>
      </w:r>
    </w:p>
    <w:p>
      <w:pPr>
        <w:pStyle w:val="Nivel2"/>
        <w:numPr>
          <w:ilvl w:val="1"/>
          <w:numId w:val="2"/>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ind w:left="644" w:hanging="0"/>
        <w:rPr/>
      </w:pPr>
      <w:r>
        <w:rPr/>
        <w:t xml:space="preserve">6.1.1. 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ind w:left="644" w:hanging="0"/>
        <w:rPr/>
      </w:pPr>
      <w:r>
        <w:rPr/>
        <w:t>6.1.2. Em caso de criação, alteração ou ex</w:t>
      </w:r>
      <w:r>
        <w:rPr>
          <w:rFonts w:eastAsia="Calibri"/>
        </w:rPr>
        <w:t>ti</w:t>
      </w:r>
      <w:r>
        <w:rPr/>
        <w:t>nção de quaisquer tributos ou encargos legais ou a superveniência de disposições legais, com comprovada repercussão sobre os preços registrados;</w:t>
      </w:r>
    </w:p>
    <w:p>
      <w:pPr>
        <w:pStyle w:val="Nvel3"/>
        <w:ind w:left="360" w:hanging="0"/>
        <w:rPr/>
      </w:pPr>
      <w:r>
        <w:rPr/>
        <w:t>6.2. Na hipótese de previsão no edital ou no aviso de contratação direta de cláusula de reajustamento ou repactuação sobre os preços registrados, nos termos da Lei nº 14.133, de 2021.</w:t>
      </w:r>
    </w:p>
    <w:p>
      <w:pPr>
        <w:pStyle w:val="Nvel4"/>
        <w:ind w:left="2295" w:hanging="0"/>
        <w:rPr/>
      </w:pPr>
      <w:r>
        <w:rPr/>
        <w:t xml:space="preserve">6.2.1. No caso do reajustamento, deverá ser respeitada a contagem da anualidade e o índice previstos para a contratação;  </w:t>
      </w:r>
    </w:p>
    <w:p>
      <w:pPr>
        <w:pStyle w:val="Nvel4"/>
        <w:ind w:left="2295" w:hanging="0"/>
        <w:rPr/>
      </w:pPr>
      <w:r>
        <w:rPr/>
        <w:t>6.2.2. No caso da repactuação, poderá ser a pedido do interessado, conforme critérios definidos para a contratação.</w:t>
      </w:r>
    </w:p>
    <w:p>
      <w:pPr>
        <w:pStyle w:val="Nivel01"/>
        <w:numPr>
          <w:ilvl w:val="0"/>
          <w:numId w:val="2"/>
        </w:numPr>
        <w:ind w:left="0" w:hanging="0"/>
        <w:rPr/>
      </w:pPr>
      <w:r>
        <w:rPr/>
        <w:t>NEGOCIAÇÃO DE PREÇOS REGISTRADOS</w:t>
      </w:r>
    </w:p>
    <w:p>
      <w:pPr>
        <w:pStyle w:val="Nivel2"/>
        <w:numPr>
          <w:ilvl w:val="1"/>
          <w:numId w:val="2"/>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ivel2"/>
        <w:numPr>
          <w:ilvl w:val="1"/>
          <w:numId w:val="2"/>
        </w:numPr>
        <w:ind w:left="0"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ivel2"/>
        <w:numPr>
          <w:ilvl w:val="1"/>
          <w:numId w:val="2"/>
        </w:numPr>
        <w:ind w:left="0" w:hanging="0"/>
        <w:rPr/>
      </w:pPr>
      <w: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ivel2"/>
        <w:numPr>
          <w:ilvl w:val="1"/>
          <w:numId w:val="2"/>
        </w:numPr>
        <w:ind w:left="0"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p>
    <w:p>
      <w:pPr>
        <w:pStyle w:val="Nivel2"/>
        <w:numPr>
          <w:ilvl w:val="1"/>
          <w:numId w:val="2"/>
        </w:numPr>
        <w:ind w:left="0" w:hanging="0"/>
        <w:rPr/>
      </w:pPr>
      <w:bookmarkStart w:id="2" w:name="reducao_preco_mercado_negociacao_frustra"/>
      <w:bookmarkEnd w:id="2"/>
      <w:r>
        <w:rPr/>
        <w:t xml:space="preserve">Na hipótese </w:t>
      </w:r>
      <w:r>
        <w:rPr>
          <w:rFonts w:cs="Calibri" w:ascii="Calibri" w:hAnsi="Calibri"/>
        </w:rPr>
        <w:t>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2"/>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ivel2"/>
        <w:numPr>
          <w:ilvl w:val="1"/>
          <w:numId w:val="2"/>
        </w:numPr>
        <w:ind w:left="0" w:hanging="0"/>
        <w:rPr/>
      </w:pPr>
      <w:r>
        <w:rPr/>
        <w:t>Neste caso, o fornecedor encaminhará, juntamente com o pedido de alteração, a documentação comprobatória ou a planilha de custos que demonstre a inviabilidade do preço registrado em relação às condições inicialmente pactuadas.</w:t>
      </w:r>
    </w:p>
    <w:p>
      <w:pPr>
        <w:pStyle w:val="Nivel2"/>
        <w:numPr>
          <w:ilvl w:val="1"/>
          <w:numId w:val="2"/>
        </w:numPr>
        <w:ind w:left="0" w:hanging="0"/>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9.1</w:t>
      </w:r>
      <w:r>
        <w:rPr/>
        <w:fldChar w:fldCharType="end"/>
      </w:r>
      <w:r>
        <w:rPr/>
        <w:t>, sem prejuízo das sanções previstas na Lei nº 14.133, de 2021, e na legislação aplicável.</w:t>
      </w:r>
    </w:p>
    <w:p>
      <w:pPr>
        <w:pStyle w:val="Nivel2"/>
        <w:numPr>
          <w:ilvl w:val="1"/>
          <w:numId w:val="2"/>
        </w:numPr>
        <w:ind w:left="0"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5.9.</w:t>
      </w:r>
    </w:p>
    <w:p>
      <w:pPr>
        <w:pStyle w:val="Nivel2"/>
        <w:numPr>
          <w:ilvl w:val="1"/>
          <w:numId w:val="2"/>
        </w:numPr>
        <w:ind w:left="0" w:hanging="0"/>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9.4</w:t>
      </w:r>
      <w:r>
        <w:rPr/>
        <w:fldChar w:fldCharType="end"/>
      </w:r>
      <w:r>
        <w:rPr/>
        <w:t>, e adotará as medidas cabíveis para a obtenção da contratação mais vantajosa.</w:t>
      </w:r>
    </w:p>
    <w:p>
      <w:pPr>
        <w:pStyle w:val="Nivel2"/>
        <w:numPr>
          <w:ilvl w:val="1"/>
          <w:numId w:val="2"/>
        </w:numPr>
        <w:ind w:left="0" w:hanging="0"/>
        <w:rPr/>
      </w:pPr>
      <w:r>
        <w:rPr/>
        <w:t>Na hipótese de comprovação da majoração do preço de mercado que inviabilize o preço registrado, conforme previsto no item 7.6 e no item 7.7, o órgão ou en</w:t>
      </w:r>
      <w:r>
        <w:rPr>
          <w:rFonts w:eastAsia="Calibri"/>
        </w:rPr>
        <w:t>ti</w:t>
      </w:r>
      <w:r>
        <w:rPr/>
        <w:t>dade gerenciadora atualizará o preço registrado, de acordo com a realidade dos valores praticados pelo mercado.</w:t>
      </w:r>
    </w:p>
    <w:p>
      <w:pPr>
        <w:pStyle w:val="Nivel2"/>
        <w:numPr>
          <w:ilvl w:val="1"/>
          <w:numId w:val="2"/>
        </w:numPr>
        <w:ind w:left="0" w:hanging="0"/>
        <w:rPr/>
      </w:pP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2"/>
        </w:numPr>
        <w:ind w:left="0" w:hanging="0"/>
        <w:rPr/>
      </w:pPr>
      <w:r>
        <w:rPr/>
        <w:t>REMANEJAMENTO DAS QUANTIDADES REGISTRADAS NA ATA DE REGISTRO DE PREÇOS</w:t>
      </w:r>
    </w:p>
    <w:p>
      <w:pPr>
        <w:pStyle w:val="Nivel2"/>
        <w:numPr>
          <w:ilvl w:val="1"/>
          <w:numId w:val="2"/>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2"/>
        </w:numPr>
        <w:ind w:left="0" w:hanging="0"/>
        <w:rPr/>
      </w:pPr>
      <w:r>
        <w:rPr/>
        <w:t xml:space="preserve"> </w:t>
      </w:r>
      <w:r>
        <w:rPr/>
        <w:t>O remanejamento somente poderá ser feito:</w:t>
      </w:r>
    </w:p>
    <w:p>
      <w:pPr>
        <w:pStyle w:val="Nvel3"/>
        <w:ind w:left="644" w:hanging="0"/>
        <w:rPr/>
      </w:pPr>
      <w:r>
        <w:rPr/>
        <w:t>8.2.1. 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ind w:left="644" w:hanging="0"/>
        <w:rPr/>
      </w:pPr>
      <w:r>
        <w:rPr/>
        <w:t>8.2.2. De órgão ou en</w:t>
      </w:r>
      <w:r>
        <w:rPr>
          <w:rFonts w:eastAsia="Arial"/>
        </w:rPr>
        <w:t>ti</w:t>
      </w:r>
      <w:r>
        <w:rPr/>
        <w:t>dade par</w:t>
      </w:r>
      <w:r>
        <w:rPr>
          <w:rFonts w:eastAsia="Arial"/>
        </w:rPr>
        <w:t>ti</w:t>
      </w:r>
      <w:r>
        <w:rPr/>
        <w:t>cipante para órgão ou entidade não participante.</w:t>
      </w:r>
    </w:p>
    <w:p>
      <w:pPr>
        <w:pStyle w:val="Nivel2"/>
        <w:numPr>
          <w:ilvl w:val="1"/>
          <w:numId w:val="2"/>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3" w:name="gerenciador_estimador_%2525252525C3%2525"/>
      <w:bookmarkEnd w:id="3"/>
    </w:p>
    <w:p>
      <w:pPr>
        <w:pStyle w:val="Nivel2"/>
        <w:numPr>
          <w:ilvl w:val="1"/>
          <w:numId w:val="2"/>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2"/>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2"/>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2"/>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gerenciador_estimador_%2525252525C3%2525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2"/>
        </w:numPr>
        <w:ind w:left="0" w:hanging="0"/>
        <w:rPr>
          <w:iCs/>
        </w:rPr>
      </w:pPr>
      <w:r>
        <w:rPr/>
        <w:t>CANCELAMENTO DO REGISTRO DO LICITANTE VENCEDOR E DOS PREÇOS REGISTRADOS</w:t>
      </w:r>
      <w:bookmarkStart w:id="4" w:name="cancelamento"/>
      <w:bookmarkEnd w:id="4"/>
    </w:p>
    <w:p>
      <w:pPr>
        <w:pStyle w:val="Nivel2"/>
        <w:numPr>
          <w:ilvl w:val="1"/>
          <w:numId w:val="2"/>
        </w:numPr>
        <w:ind w:left="0" w:hanging="0"/>
        <w:rPr/>
      </w:pPr>
      <w:r>
        <w:rPr/>
        <w:t>O registro do fornecedor será cancelado pelo gerenciador, quando o fornecedor:</w:t>
      </w:r>
      <w:bookmarkStart w:id="5" w:name="cancelamento_do_fornecedor"/>
      <w:bookmarkEnd w:id="5"/>
    </w:p>
    <w:p>
      <w:pPr>
        <w:pStyle w:val="Nvel3"/>
        <w:ind w:left="644" w:hanging="0"/>
        <w:rPr/>
      </w:pPr>
      <w:r>
        <w:rPr/>
        <w:t>9.1.1. Descumprir as condições da ata de registro de preços, sem motivo justificado;</w:t>
      </w:r>
    </w:p>
    <w:p>
      <w:pPr>
        <w:pStyle w:val="Nvel3"/>
        <w:ind w:left="644" w:hanging="0"/>
        <w:rPr/>
      </w:pPr>
      <w:r>
        <w:rPr/>
        <w:t>9.1.2. Não re</w:t>
      </w:r>
      <w:r>
        <w:rPr>
          <w:rFonts w:eastAsia="Arial"/>
        </w:rPr>
        <w:t>ti</w:t>
      </w:r>
      <w:r>
        <w:rPr/>
        <w:t>rar a nota de empenho, ou instrumento equivalente, no prazo estabelecido pela Administração sem justificativa razoável;</w:t>
      </w:r>
    </w:p>
    <w:p>
      <w:pPr>
        <w:pStyle w:val="Nvel3"/>
        <w:ind w:left="644" w:hanging="0"/>
        <w:rPr/>
      </w:pPr>
      <w:r>
        <w:rPr/>
        <w:t>9.1.3. Não aceitar manter seu preço registrado, na hipótese prevista no artigo 27, § 2º, do Decreto nº 11.462, de 2023; ou</w:t>
      </w:r>
    </w:p>
    <w:p>
      <w:pPr>
        <w:pStyle w:val="Nvel3"/>
        <w:ind w:left="644" w:hanging="0"/>
        <w:rPr/>
      </w:pPr>
      <w:r>
        <w:rPr/>
        <w:t>9.1.4. Sofrer sanção prevista nos incisos III ou IV do caput do art. 156 da Lei nº 14.133, de 2021.</w:t>
      </w:r>
    </w:p>
    <w:p>
      <w:pPr>
        <w:pStyle w:val="Nvel4"/>
        <w:ind w:left="2295" w:hanging="0"/>
        <w:rPr/>
      </w:pPr>
      <w: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2"/>
        </w:numPr>
        <w:ind w:lef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2"/>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2"/>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6" w:name="cancelamento_da_ata"/>
      <w:bookmarkEnd w:id="6"/>
      <w:r>
        <w:rPr/>
        <w:t xml:space="preserve"> </w:t>
      </w:r>
    </w:p>
    <w:p>
      <w:pPr>
        <w:pStyle w:val="Nvel3"/>
        <w:ind w:left="644" w:hanging="0"/>
        <w:rPr/>
      </w:pPr>
      <w:r>
        <w:rPr/>
        <w:t>9.4.1. Por razão de interesse público;</w:t>
      </w:r>
    </w:p>
    <w:p>
      <w:pPr>
        <w:pStyle w:val="Nvel3"/>
        <w:ind w:left="644" w:hanging="0"/>
        <w:rPr/>
      </w:pPr>
      <w:r>
        <w:rPr/>
        <w:t>9.4.2. A pedido do fornecedor, decorrente de caso fortuito ou força maior; ou</w:t>
      </w:r>
    </w:p>
    <w:p>
      <w:pPr>
        <w:pStyle w:val="Nvel3"/>
        <w:ind w:left="644" w:hanging="0"/>
        <w:rPr/>
      </w:pPr>
      <w:r>
        <w:rPr/>
        <w:t xml:space="preserve">9.4.3. Se não houver êxito nas negociações, nas hipóteses em que o preço de mercado tornar-se superior ou inferior ao preço registrado, nos termos dos artigos 26, § 3º e 27, § 4º, ambos do Decreto nº 11.462, de 2023. </w:t>
      </w:r>
    </w:p>
    <w:p>
      <w:pPr>
        <w:pStyle w:val="Nivel01"/>
        <w:numPr>
          <w:ilvl w:val="0"/>
          <w:numId w:val="2"/>
        </w:numPr>
        <w:ind w:left="0" w:hanging="0"/>
        <w:rPr/>
      </w:pPr>
      <w:r>
        <w:rPr/>
        <w:t>DAS PENALIDADES</w:t>
      </w:r>
    </w:p>
    <w:p>
      <w:pPr>
        <w:pStyle w:val="Nivel2"/>
        <w:numPr>
          <w:ilvl w:val="1"/>
          <w:numId w:val="2"/>
        </w:numPr>
        <w:ind w:left="0" w:hanging="0"/>
        <w:rPr/>
      </w:pPr>
      <w:r>
        <w:rPr/>
        <w:t xml:space="preserve">O descumprimento da Ata de Registro de Preços ensejará aplicação das penalidades estabelecidas </w:t>
      </w:r>
      <w:r>
        <w:rPr>
          <w:color w:val="000000"/>
        </w:rPr>
        <w:t>no edital.</w:t>
      </w:r>
    </w:p>
    <w:p>
      <w:pPr>
        <w:pStyle w:val="Nvel3"/>
        <w:ind w:left="644" w:hanging="0"/>
        <w:rPr/>
      </w:pPr>
      <w:r>
        <w:rPr/>
        <w:t xml:space="preserve">10.1.1. As sanções também se aplicam aos integrantes do cadastro de reserva no registro de preços que, convocados, não honrarem o compromisso assumido injustificadamente após terem assinado a ata. </w:t>
      </w:r>
    </w:p>
    <w:p>
      <w:pPr>
        <w:pStyle w:val="Nivel2"/>
        <w:numPr>
          <w:ilvl w:val="1"/>
          <w:numId w:val="2"/>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2"/>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2"/>
        </w:numPr>
        <w:ind w:left="0" w:hanging="0"/>
        <w:rPr/>
      </w:pPr>
      <w:r>
        <w:rPr/>
        <w:t>CONDIÇÕES GERAIS</w:t>
      </w:r>
    </w:p>
    <w:p>
      <w:pPr>
        <w:pStyle w:val="Nivel2"/>
        <w:numPr>
          <w:ilvl w:val="1"/>
          <w:numId w:val="2"/>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color w:val="000000"/>
        </w:rPr>
        <w:t>AO EDITAL.</w:t>
      </w:r>
    </w:p>
    <w:p>
      <w:pPr>
        <w:pStyle w:val="Nvel2Red"/>
        <w:ind w:left="360" w:hanging="0"/>
        <w:rPr>
          <w:i w:val="false"/>
          <w:i w:val="false"/>
          <w:iCs w:val="false"/>
          <w:color w:val="000000"/>
        </w:rPr>
      </w:pPr>
      <w:r>
        <w:rPr>
          <w:i w:val="false"/>
          <w:iCs w:val="false"/>
          <w:color w:val="000000"/>
        </w:rPr>
        <w:t>11.1.1. 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pPr>
      <w:r>
        <w:rPr>
          <w:rFonts w:cs="Arial" w:ascii="Arial" w:hAnsi="Arial"/>
          <w:sz w:val="20"/>
          <w:szCs w:val="20"/>
        </w:rPr>
        <w:t xml:space="preserve">Para firmeza e validade do pactuado, a presente Ata foi lavrada em </w:t>
      </w:r>
      <w:r>
        <w:rPr>
          <w:rFonts w:cs="Arial" w:ascii="Arial" w:hAnsi="Arial"/>
          <w:color w:val="000000"/>
          <w:sz w:val="20"/>
          <w:szCs w:val="20"/>
        </w:rPr>
        <w:t>02 (duas) vias de igual teor que, depois de lida e achada em ordem, vai assinada pelas partes</w:t>
      </w:r>
      <w:r>
        <w:rPr>
          <w:rFonts w:cs="Arial;sans-serif" w:ascii="Arial;sans-serif" w:hAnsi="Arial;sans-serif"/>
          <w:color w:val="000000"/>
          <w:sz w:val="20"/>
          <w:szCs w:val="20"/>
        </w:rPr>
        <w:t>.</w:t>
      </w:r>
    </w:p>
    <w:p>
      <w:pPr>
        <w:pStyle w:val="Normal"/>
        <w:widowControl w:val="false"/>
        <w:spacing w:lineRule="atLeast" w:line="100"/>
        <w:jc w:val="center"/>
        <w:rPr>
          <w:rFonts w:ascii="Arial" w:hAnsi="Arial" w:cs="Arial"/>
          <w:color w:val="000000"/>
          <w:sz w:val="20"/>
          <w:szCs w:val="20"/>
        </w:rPr>
      </w:pPr>
      <w:r>
        <w:rPr/>
      </w:r>
    </w:p>
    <w:p>
      <w:pPr>
        <w:pStyle w:val="Normal"/>
        <w:widowControl w:val="false"/>
        <w:spacing w:lineRule="atLeast" w:line="100"/>
        <w:jc w:val="center"/>
        <w:rPr>
          <w:rFonts w:ascii="Arial" w:hAnsi="Arial" w:cs="Arial"/>
          <w:color w:val="000000"/>
          <w:sz w:val="20"/>
          <w:szCs w:val="20"/>
        </w:rPr>
      </w:pPr>
      <w:r>
        <w:rPr/>
      </w:r>
    </w:p>
    <w:p>
      <w:pPr>
        <w:pStyle w:val="Normal"/>
        <w:widowControl w:val="false"/>
        <w:spacing w:lineRule="atLeast" w:line="100"/>
        <w:jc w:val="center"/>
        <w:rPr/>
      </w:pPr>
      <w:r>
        <w:rPr>
          <w:rFonts w:cs="Arial" w:ascii="Arial" w:hAnsi="Arial"/>
          <w:color w:val="000000"/>
          <w:sz w:val="20"/>
          <w:szCs w:val="20"/>
        </w:rPr>
        <w:t xml:space="preserve">Quartel em Resende, RJ, </w:t>
      </w:r>
      <w:r>
        <w:rPr>
          <w:rFonts w:cs="Arial" w:ascii="Arial" w:hAnsi="Arial"/>
          <w:color w:val="000000"/>
          <w:sz w:val="20"/>
          <w:szCs w:val="20"/>
          <w:shd w:fill="FFFFFF" w:val="clear"/>
        </w:rPr>
        <w:t xml:space="preserve">XX de XXXX </w:t>
      </w:r>
      <w:r>
        <w:rPr>
          <w:rFonts w:cs="Arial" w:ascii="Arial" w:hAnsi="Arial"/>
          <w:color w:val="000000"/>
          <w:sz w:val="20"/>
          <w:szCs w:val="20"/>
        </w:rPr>
        <w:t>de 202</w:t>
      </w:r>
      <w:r>
        <w:rPr>
          <w:rFonts w:cs="Arial" w:ascii="Arial" w:hAnsi="Arial"/>
          <w:color w:val="000000"/>
          <w:sz w:val="20"/>
          <w:szCs w:val="20"/>
        </w:rPr>
        <w:t>4</w:t>
      </w:r>
      <w:r>
        <w:rPr>
          <w:rFonts w:cs="Arial" w:ascii="Arial" w:hAnsi="Arial"/>
          <w:color w:val="000000"/>
          <w:sz w:val="20"/>
          <w:szCs w:val="20"/>
        </w:rPr>
        <w:t>.</w:t>
      </w:r>
    </w:p>
    <w:p>
      <w:pPr>
        <w:pStyle w:val="Normal"/>
        <w:widowControl w:val="false"/>
        <w:spacing w:lineRule="atLeast" w:line="100"/>
        <w:jc w:val="center"/>
        <w:rPr>
          <w:rFonts w:ascii="Arial" w:hAnsi="Arial" w:cs="Arial"/>
        </w:rPr>
      </w:pPr>
      <w:r>
        <w:rPr>
          <w:rFonts w:cs="Arial" w:ascii="Arial" w:hAnsi="Arial"/>
        </w:rPr>
      </w:r>
    </w:p>
    <w:p>
      <w:pPr>
        <w:pStyle w:val="Normal"/>
        <w:widowControl w:val="false"/>
        <w:spacing w:lineRule="atLeast" w:line="10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tLeast" w:line="10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tLeast" w:line="100"/>
        <w:jc w:val="center"/>
        <w:rPr>
          <w:rFonts w:ascii="Arial" w:hAnsi="Arial" w:cs="Arial"/>
          <w:color w:val="000000"/>
          <w:sz w:val="20"/>
          <w:szCs w:val="20"/>
        </w:rPr>
      </w:pPr>
      <w:r>
        <w:rPr>
          <w:rFonts w:cs="Arial" w:ascii="Arial" w:hAnsi="Arial"/>
          <w:color w:val="000000"/>
          <w:sz w:val="20"/>
          <w:szCs w:val="20"/>
        </w:rPr>
        <w:t>Assinatura do Representante legal do Órgão Gerenciador</w:t>
      </w:r>
    </w:p>
    <w:p>
      <w:pPr>
        <w:pStyle w:val="Normal"/>
        <w:widowControl w:val="false"/>
        <w:spacing w:lineRule="atLeast" w:line="10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tLeast" w:line="10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tLeast" w:line="100"/>
        <w:ind w:right="-30" w:hanging="0"/>
        <w:jc w:val="center"/>
        <w:rPr>
          <w:rFonts w:ascii="Arial" w:hAnsi="Arial" w:cs="Arial"/>
          <w:color w:val="000000"/>
          <w:sz w:val="20"/>
          <w:szCs w:val="20"/>
        </w:rPr>
      </w:pPr>
      <w:r>
        <w:rPr>
          <w:rFonts w:cs="Arial" w:ascii="Arial" w:hAnsi="Arial"/>
          <w:color w:val="000000"/>
          <w:sz w:val="20"/>
          <w:szCs w:val="20"/>
        </w:rPr>
        <w:t>Assinatura do(s) Representante(s) legal(is) do(s) 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rFonts w:ascii="Arial" w:hAnsi="Arial" w:cs="Arial"/>
          <w:color w:val="000000"/>
          <w:sz w:val="20"/>
          <w:szCs w:val="20"/>
        </w:rPr>
      </w:pPr>
      <w:bookmarkStart w:id="7" w:name="_GoBack"/>
      <w:bookmarkEnd w:id="7"/>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463"/>
        <w:gridCol w:w="1304"/>
        <w:gridCol w:w="1043"/>
        <w:gridCol w:w="1237"/>
        <w:gridCol w:w="999"/>
        <w:gridCol w:w="1754"/>
        <w:gridCol w:w="1055"/>
        <w:gridCol w:w="716"/>
        <w:gridCol w:w="820"/>
      </w:tblGrid>
      <w:tr>
        <w:trPr>
          <w:trHeight w:val="511" w:hRule="atLeast"/>
        </w:trPr>
        <w:tc>
          <w:tcPr>
            <w:tcW w:w="463"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928" w:type="dxa"/>
            <w:gridSpan w:val="8"/>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63" w:type="dxa"/>
            <w:tcBorders>
              <w:left w:val="single" w:sz="2" w:space="0" w:color="000000"/>
              <w:bottom w:val="single" w:sz="2" w:space="0" w:color="000000"/>
            </w:tcBorders>
            <w:shd w:color="auto"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0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043"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237"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999"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754"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1055"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716"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20"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63"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0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43"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37"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999"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75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55"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716"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20"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586"/>
        <w:gridCol w:w="1253"/>
        <w:gridCol w:w="1024"/>
        <w:gridCol w:w="1211"/>
        <w:gridCol w:w="988"/>
        <w:gridCol w:w="1754"/>
        <w:gridCol w:w="1055"/>
        <w:gridCol w:w="704"/>
        <w:gridCol w:w="816"/>
      </w:tblGrid>
      <w:tr>
        <w:trPr>
          <w:trHeight w:val="511" w:hRule="atLeast"/>
        </w:trPr>
        <w:tc>
          <w:tcPr>
            <w:tcW w:w="586"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05" w:type="dxa"/>
            <w:gridSpan w:val="8"/>
            <w:tcBorders>
              <w:top w:val="single" w:sz="2" w:space="0" w:color="000000"/>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586" w:type="dxa"/>
            <w:tcBorders>
              <w:left w:val="single" w:sz="2" w:space="0" w:color="000000"/>
              <w:bottom w:val="single" w:sz="2" w:space="0" w:color="000000"/>
            </w:tcBorders>
            <w:shd w:color="auto"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253"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024"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211"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988"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754"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1055"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704" w:type="dxa"/>
            <w:tcBorders>
              <w:left w:val="single" w:sz="2" w:space="0" w:color="000000"/>
              <w:bottom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16"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586"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2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11"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988"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75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55"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704" w:type="dxa"/>
            <w:tcBorders>
              <w:left w:val="single" w:sz="2" w:space="0" w:color="000000"/>
              <w:bottom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16"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pPr>
      <w:r>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alibri">
    <w:charset w:val="00"/>
    <w:family w:val="roman"/>
    <w:pitch w:val="variable"/>
  </w:font>
  <w:font w:name="Arial">
    <w:altName w:val="sans-serif"/>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auto"/>
      </w:rPr>
    </w:lvl>
    <w:lvl w:ilvl="1">
      <w:start w:val="1"/>
      <w:numFmt w:val="decimal"/>
      <w:lvlText w:val="%1.%2."/>
      <w:lvlJc w:val="left"/>
      <w:pPr>
        <w:ind w:left="432"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46fc"/>
    <w:pPr>
      <w:widowControl/>
      <w:bidi w:val="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customStyle="1">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qFormat/>
    <w:rsid w:val="00be6ea8"/>
    <w:rPr>
      <w:rFonts w:ascii="Arial" w:hAnsi="Arial" w:cs="Arial"/>
      <w:i/>
      <w:iCs/>
      <w:color w:val="FF0000"/>
    </w:rPr>
  </w:style>
  <w:style w:type="character" w:styleId="OuChar" w:customStyle="1">
    <w:name w:val="ou Char"/>
    <w:basedOn w:val="DefaultParagraphFont"/>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ListLabel1" w:customStyle="1">
    <w:name w:val="ListLabel 1"/>
    <w:qFormat/>
    <w:rPr>
      <w:b/>
      <w:color w:val="auto"/>
    </w:rPr>
  </w:style>
  <w:style w:type="character" w:styleId="ListLabel2" w:customStyle="1">
    <w:name w:val="ListLabel 2"/>
    <w:qFormat/>
    <w:rPr>
      <w:sz w:val="20"/>
      <w:szCs w:val="20"/>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b/>
    </w:rPr>
  </w:style>
  <w:style w:type="character" w:styleId="ListLabel6" w:customStyle="1">
    <w:name w:val="ListLabel 6"/>
    <w:qFormat/>
    <w:rPr>
      <w:rFonts w:cs="Arial"/>
      <w:b w:val="false"/>
      <w:i w:val="false"/>
      <w:strike w:val="false"/>
      <w:dstrike w:val="false"/>
      <w:color w:val="auto"/>
      <w:sz w:val="20"/>
      <w:szCs w:val="20"/>
      <w:u w:val="none"/>
      <w:effect w:val="none"/>
    </w:rPr>
  </w:style>
  <w:style w:type="character" w:styleId="ListLabel7" w:customStyle="1">
    <w:name w:val="ListLabel 7"/>
    <w:qFormat/>
    <w:rPr>
      <w:rFonts w:cs="Arial"/>
      <w:b w:val="false"/>
      <w:i w:val="false"/>
      <w:strike w:val="false"/>
      <w:dstrike w:val="false"/>
      <w:color w:val="auto"/>
      <w:sz w:val="20"/>
      <w:szCs w:val="20"/>
      <w:u w:val="none"/>
      <w:effect w:val="none"/>
    </w:rPr>
  </w:style>
  <w:style w:type="character" w:styleId="ListLabel8" w:customStyle="1">
    <w:name w:val="ListLabel 8"/>
    <w:qFormat/>
    <w:rPr>
      <w:b/>
    </w:rPr>
  </w:style>
  <w:style w:type="character" w:styleId="ListLabel9" w:customStyle="1">
    <w:name w:val="ListLabel 9"/>
    <w:qFormat/>
    <w:rPr>
      <w:rFonts w:cs="Arial"/>
      <w:b w:val="false"/>
      <w:i w:val="false"/>
      <w:strike w:val="false"/>
      <w:dstrike w:val="false"/>
      <w:color w:val="auto"/>
      <w:sz w:val="20"/>
      <w:szCs w:val="20"/>
      <w:u w:val="none"/>
      <w:effect w:val="none"/>
    </w:rPr>
  </w:style>
  <w:style w:type="character" w:styleId="ListLabel10" w:customStyle="1">
    <w:name w:val="ListLabel 10"/>
    <w:qFormat/>
    <w:rPr>
      <w:rFonts w:cs="Arial"/>
      <w:b w:val="false"/>
      <w:i w:val="false"/>
      <w:strike w:val="false"/>
      <w:dstrike w:val="false"/>
      <w:color w:val="auto"/>
      <w:sz w:val="20"/>
      <w:szCs w:val="20"/>
      <w:u w:val="none"/>
      <w:effect w:val="none"/>
    </w:rPr>
  </w:style>
  <w:style w:type="character" w:styleId="ListLabel11" w:customStyle="1">
    <w:name w:val="ListLabel 11"/>
    <w:qFormat/>
    <w:rPr>
      <w:i w:val="false"/>
      <w:iCs/>
      <w:color w:val="auto"/>
    </w:rPr>
  </w:style>
  <w:style w:type="character" w:styleId="ListLabel12" w:customStyle="1">
    <w:name w:val="ListLabel 12"/>
    <w:qFormat/>
    <w:rPr>
      <w:b/>
      <w:color w:val="auto"/>
    </w:rPr>
  </w:style>
  <w:style w:type="character" w:styleId="ListLabel13" w:customStyle="1">
    <w:name w:val="ListLabel 13"/>
    <w:qFormat/>
    <w:rPr>
      <w:sz w:val="20"/>
      <w:szCs w:val="20"/>
    </w:rPr>
  </w:style>
  <w:style w:type="character" w:styleId="ListLabel14" w:customStyle="1">
    <w:name w:val="ListLabel 14"/>
    <w:qFormat/>
    <w:rPr>
      <w:b/>
      <w:color w:val="auto"/>
    </w:rPr>
  </w:style>
  <w:style w:type="character" w:styleId="ListLabel15" w:customStyle="1">
    <w:name w:val="ListLabel 15"/>
    <w:qFormat/>
    <w:rPr>
      <w:sz w:val="20"/>
      <w:szCs w:val="20"/>
    </w:rPr>
  </w:style>
  <w:style w:type="character" w:styleId="ListLabel16" w:customStyle="1">
    <w:name w:val="ListLabel 16"/>
    <w:qFormat/>
    <w:rPr>
      <w:b/>
      <w:color w:val="auto"/>
    </w:rPr>
  </w:style>
  <w:style w:type="character" w:styleId="ListLabel17" w:customStyle="1">
    <w:name w:val="ListLabel 17"/>
    <w:qFormat/>
    <w:rPr>
      <w:sz w:val="20"/>
      <w:szCs w:val="20"/>
    </w:rPr>
  </w:style>
  <w:style w:type="character" w:styleId="ListLabel18" w:customStyle="1">
    <w:name w:val="ListLabel 18"/>
    <w:qFormat/>
    <w:rPr>
      <w:b/>
      <w:color w:val="auto"/>
    </w:rPr>
  </w:style>
  <w:style w:type="character" w:styleId="ListLabel19" w:customStyle="1">
    <w:name w:val="ListLabel 19"/>
    <w:qFormat/>
    <w:rPr>
      <w:sz w:val="20"/>
      <w:szCs w:val="20"/>
    </w:rPr>
  </w:style>
  <w:style w:type="character" w:styleId="ListLabel20">
    <w:name w:val="ListLabel 20"/>
    <w:qFormat/>
    <w:rPr>
      <w:b/>
      <w:color w:val="auto"/>
    </w:rPr>
  </w:style>
  <w:style w:type="character" w:styleId="ListLabel21">
    <w:name w:val="ListLabel 21"/>
    <w:qFormat/>
    <w:rPr>
      <w:sz w:val="20"/>
      <w:szCs w:val="2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next w:val="Corpodotexto"/>
    <w:qFormat/>
    <w:pPr>
      <w:keepNext w:val="true"/>
      <w:spacing w:before="240" w:after="120"/>
    </w:pPr>
    <w:rPr>
      <w:rFonts w:ascii="Liberation Sans" w:hAnsi="Liberation Sans" w:eastAsia="Microsoft YaHei" w:cs="Mangal"/>
      <w:sz w:val="28"/>
      <w:szCs w:val="28"/>
    </w:rPr>
  </w:style>
  <w:style w:type="paragraph" w:styleId="Caption">
    <w:name w:val="caption"/>
    <w:basedOn w:val="Normal"/>
    <w:qFormat/>
    <w:pPr>
      <w:suppressLineNumbers/>
      <w:spacing w:before="120" w:after="120"/>
    </w:pPr>
    <w:rPr>
      <w:rFonts w:cs="Mangal"/>
      <w:i/>
      <w:iCs/>
    </w:rPr>
  </w:style>
  <w:style w:type="paragraph" w:styleId="GradeColoridanfase11" w:customStyle="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jc w:val="both"/>
    </w:pPr>
    <w:rPr>
      <w:rFonts w:ascii="Arial" w:hAnsi="Arial" w:cs="Arial"/>
      <w:sz w:val="20"/>
      <w:szCs w:val="20"/>
    </w:rPr>
  </w:style>
  <w:style w:type="paragraph" w:styleId="Nvel2Red" w:customStyle="1">
    <w:name w:val="Nível 2 -Red"/>
    <w:basedOn w:val="Nivel2"/>
    <w:qFormat/>
    <w:rsid w:val="00be6ea8"/>
    <w:pPr/>
    <w:rPr>
      <w:i/>
      <w:iCs/>
      <w:color w:val="FF0000"/>
    </w:rPr>
  </w:style>
  <w:style w:type="paragraph" w:styleId="Ou" w:customStyle="1">
    <w:name w:val="ou"/>
    <w:basedOn w:val="ListParagraph"/>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CAA1BF10-BA21-41FC-B966-68D460302E98}">
  <ds:schemaRefs>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d7c48ea4-4748-4e79-bb61-d51d73419c91"/>
    <ds:schemaRef ds:uri="http://purl.org/dc/dcmitype/"/>
    <ds:schemaRef ds:uri="52c93ea8-e2de-466c-b401-d7fabeb9490e"/>
  </ds:schemaRefs>
</ds:datastoreItem>
</file>

<file path=customXml/itemProps4.xml><?xml version="1.0" encoding="utf-8"?>
<ds:datastoreItem xmlns:ds="http://schemas.openxmlformats.org/officeDocument/2006/customXml" ds:itemID="{559EE5DF-F9CE-4D6E-964E-BCC0ED0C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LibreOffice/6.2.4.2$Windows_X86_64 LibreOffice_project/2412653d852ce75f65fbfa83fb7e7b669a126d64</Application>
  <Pages>9</Pages>
  <Words>3385</Words>
  <Characters>18703</Characters>
  <CharactersWithSpaces>21891</CharactersWithSpaces>
  <Paragraphs>176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2023-08-24T10:30:00Z</dcterms:created>
  <dc:creator>HMRSALC1</dc:creator>
  <dc:description/>
  <dc:language>pt-BR</dc:language>
  <cp:lastModifiedBy/>
  <cp:lastPrinted>2024-09-10T11:58:00Z</cp:lastPrinted>
  <dcterms:modified xsi:type="dcterms:W3CDTF">2024-11-01T07:42:59Z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